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Event Recap</w:t>
      </w:r>
    </w:p>
    <w:p>
      <w:pPr>
        <w:spacing w:after="200"/>
      </w:pPr>
      <w:r>
        <w:rPr>
          <w:b/>
          <w:bCs/>
          <w:sz w:val="26"/>
          <w:szCs w:val="26"/>
        </w:rPr>
        <w:t xml:space="preserve">National Undergraduate Case Championship — Fall 2025</w:t>
      </w:r>
    </w:p>
    <w:p>
      <w:pPr>
        <w:spacing w:after="200"/>
      </w:pPr>
      <w:r>
        <w:rPr>
          <w:i/>
          <w:iCs/>
          <w:color w:val="555555"/>
        </w:rPr>
        <w:t xml:space="preserve">Prepared by the Apex Consulting Club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7480"/>
      </w:tblGrid>
      <w:tr>
        <w:tc>
          <w:tcPr>
            <w:tcW w:type="dxa" w:w="2600"/>
            <w:shd w:fill="F2F2F2" w:val="clear"/>
          </w:tcPr>
          <w:p>
            <w:r>
              <w:rPr>
                <w:b/>
                <w:bCs/>
              </w:rPr>
              <w:t xml:space="preserve">Date</w:t>
            </w:r>
          </w:p>
        </w:tc>
        <w:tc>
          <w:tcPr>
            <w:tcW w:type="dxa" w:w="7480"/>
          </w:tcPr>
          <w:p>
            <w:r>
              <w:t xml:space="preserve">Saturday, November 8, 2025</w:t>
            </w:r>
          </w:p>
        </w:tc>
      </w:tr>
      <w:tr>
        <w:tc>
          <w:tcPr>
            <w:tcW w:type="dxa" w:w="2600"/>
            <w:shd w:fill="F2F2F2" w:val="clear"/>
          </w:tcPr>
          <w:p>
            <w:r>
              <w:rPr>
                <w:b/>
                <w:bCs/>
              </w:rPr>
              <w:t xml:space="preserve">Location</w:t>
            </w:r>
          </w:p>
        </w:tc>
        <w:tc>
          <w:tcPr>
            <w:tcW w:type="dxa" w:w="7480"/>
          </w:tcPr>
          <w:p>
            <w:r>
              <w:t xml:space="preserve">Ross School of Business, Room R1240 (Kresge Hall), Ann Arbor, MI</w:t>
            </w:r>
          </w:p>
        </w:tc>
      </w:tr>
      <w:tr>
        <w:tc>
          <w:tcPr>
            <w:tcW w:type="dxa" w:w="2600"/>
            <w:shd w:fill="F2F2F2" w:val="clear"/>
          </w:tcPr>
          <w:p>
            <w:r>
              <w:rPr>
                <w:b/>
                <w:bCs/>
              </w:rPr>
              <w:t xml:space="preserve">Format</w:t>
            </w:r>
          </w:p>
        </w:tc>
        <w:tc>
          <w:tcPr>
            <w:tcW w:type="dxa" w:w="7480"/>
          </w:tcPr>
          <w:p>
            <w:r>
              <w:t xml:space="preserve">20-minute prep, 20-minute presentation, 10-minute Q&amp;A, panel of three judges</w:t>
            </w:r>
          </w:p>
        </w:tc>
      </w:tr>
      <w:tr>
        <w:tc>
          <w:tcPr>
            <w:tcW w:type="dxa" w:w="2600"/>
            <w:shd w:fill="F2F2F2" w:val="clear"/>
          </w:tcPr>
          <w:p>
            <w:r>
              <w:rPr>
                <w:b/>
                <w:bCs/>
              </w:rPr>
              <w:t xml:space="preserve">Team</w:t>
            </w:r>
          </w:p>
        </w:tc>
        <w:tc>
          <w:tcPr>
            <w:tcW w:type="dxa" w:w="7480"/>
          </w:tcPr>
          <w:p>
            <w:r>
              <w:t xml:space="preserve">Sofia, Marcus, Priya, Jordan</w:t>
            </w:r>
          </w:p>
        </w:tc>
      </w:tr>
      <w:tr>
        <w:tc>
          <w:tcPr>
            <w:tcW w:type="dxa" w:w="2600"/>
            <w:shd w:fill="F2F2F2" w:val="clear"/>
          </w:tcPr>
          <w:p>
            <w:r>
              <w:rPr>
                <w:b/>
                <w:bCs/>
              </w:rPr>
              <w:t xml:space="preserve">Competing teams</w:t>
            </w:r>
          </w:p>
        </w:tc>
        <w:tc>
          <w:tcPr>
            <w:tcW w:type="dxa" w:w="7480"/>
          </w:tcPr>
          <w:p>
            <w:r>
              <w:t xml:space="preserve">14 teams from 11 universities</w:t>
            </w:r>
          </w:p>
        </w:tc>
      </w:tr>
    </w:tbl>
    <w:p>
      <w:pPr>
        <w:pStyle w:val="Heading1"/>
        <w:spacing w:after="160" w:before="280"/>
      </w:pPr>
      <w:r>
        <w:t xml:space="preserve">The case</w:t>
      </w:r>
    </w:p>
    <w:p>
      <w:pPr>
        <w:spacing w:after="200"/>
      </w:pPr>
      <w:r>
        <w:t xml:space="preserve">The case topic was retail supply chain disruption — a shift from the finance-heavy cases the team had been expecting, which meant less time leaning on pre-built financial frameworks during prep. Phones were collected during the prep period. During the 20-minute prep window, Marcus led the financial model, Priya handled market sizing, and Jordan and Sofia built out the framework; the team felt rushed at the end and didn't get a full run-through before presenting.</w:t>
      </w:r>
    </w:p>
    <w:p>
      <w:pPr>
        <w:pStyle w:val="Heading1"/>
        <w:spacing w:after="160" w:before="280"/>
      </w:pPr>
      <w:r>
        <w:t xml:space="preserve">Results</w:t>
      </w:r>
    </w:p>
    <w:p>
      <w:pPr>
        <w:spacing w:after="200"/>
      </w:pPr>
      <w:r>
        <w:t xml:space="preserve">We placed </w:t>
      </w:r>
      <w:r>
        <w:rPr>
          <w:b/>
          <w:bCs/>
        </w:rPr>
        <w:t xml:space="preserve">2nd overall</w:t>
      </w:r>
      <w:r>
        <w:t xml:space="preserve"> out of 14 teams. We ranked </w:t>
      </w:r>
      <w:r>
        <w:rPr>
          <w:b/>
          <w:bCs/>
        </w:rPr>
        <w:t xml:space="preserve">1st on presentation score</w:t>
      </w:r>
      <w:r>
        <w:t xml:space="preserve"> — higher than expected — and </w:t>
      </w:r>
      <w:r>
        <w:rPr>
          <w:b/>
          <w:bCs/>
        </w:rPr>
        <w:t xml:space="preserve">3rd on analysis</w:t>
      </w:r>
      <w:r>
        <w:t xml:space="preserve">, losing points on market sizing after McKinsey judge Rebecca Cho pressed on the sourcing behind our $4.2B TAM figure. The Michigan team won overall; team members noted afterward that their tight opening (two sentences before moving straight into the framework) and their habit of practicing Q&amp;A as its own dedicated session were part of what set them apart.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800"/>
        <w:gridCol w:w="6080"/>
      </w:tblGrid>
      <w:tr>
        <w:tc>
          <w:tcPr>
            <w:tcW w:type="dxa" w:w="2200"/>
            <w:shd w:fill="F2F2F2" w:val="clear"/>
          </w:tcPr>
          <w:p>
            <w:r>
              <w:rPr>
                <w:b/>
                <w:bCs/>
              </w:rPr>
              <w:t xml:space="preserve">Category</w:t>
            </w:r>
          </w:p>
        </w:tc>
        <w:tc>
          <w:tcPr>
            <w:tcW w:type="dxa" w:w="1800"/>
            <w:shd w:fill="F2F2F2" w:val="clear"/>
          </w:tcPr>
          <w:p>
            <w:r>
              <w:rPr>
                <w:b/>
                <w:bCs/>
              </w:rPr>
              <w:t xml:space="preserve">Our rank</w:t>
            </w:r>
          </w:p>
        </w:tc>
        <w:tc>
          <w:tcPr>
            <w:tcW w:type="dxa" w:w="6080"/>
            <w:shd w:fill="F2F2F2" w:val="clear"/>
          </w:tcPr>
          <w:p>
            <w:r>
              <w:rPr>
                <w:b/>
                <w:bCs/>
              </w:rPr>
              <w:t xml:space="preserve">Note</w:t>
            </w:r>
          </w:p>
        </w:tc>
      </w:tr>
      <w:tr>
        <w:tc>
          <w:tcPr>
            <w:tcW w:type="dxa" w:w="2200"/>
          </w:tcPr>
          <w:p>
            <w:r>
              <w:t xml:space="preserve">Overall</w:t>
            </w:r>
          </w:p>
        </w:tc>
        <w:tc>
          <w:tcPr>
            <w:tcW w:type="dxa" w:w="1800"/>
          </w:tcPr>
          <w:p>
            <w:r>
              <w:t xml:space="preserve">2nd of 14</w:t>
            </w:r>
          </w:p>
        </w:tc>
        <w:tc>
          <w:tcPr>
            <w:tcW w:type="dxa" w:w="6080"/>
          </w:tcPr>
          <w:p>
            <w:r>
              <w:t xml:space="preserve">Michigan won overall</w:t>
            </w:r>
          </w:p>
        </w:tc>
      </w:tr>
      <w:tr>
        <w:tc>
          <w:tcPr>
            <w:tcW w:type="dxa" w:w="2200"/>
          </w:tcPr>
          <w:p>
            <w:r>
              <w:t xml:space="preserve">Presentation</w:t>
            </w:r>
          </w:p>
        </w:tc>
        <w:tc>
          <w:tcPr>
            <w:tcW w:type="dxa" w:w="1800"/>
          </w:tcPr>
          <w:p>
            <w:r>
              <w:t xml:space="preserve">1st of 14</w:t>
            </w:r>
          </w:p>
        </w:tc>
        <w:tc>
          <w:tcPr>
            <w:tcW w:type="dxa" w:w="6080"/>
          </w:tcPr>
          <w:p>
            <w:r>
              <w:t xml:space="preserve">Higher than expected</w:t>
            </w:r>
          </w:p>
        </w:tc>
      </w:tr>
      <w:tr>
        <w:tc>
          <w:tcPr>
            <w:tcW w:type="dxa" w:w="2200"/>
          </w:tcPr>
          <w:p>
            <w:r>
              <w:t xml:space="preserve">Analysis</w:t>
            </w:r>
          </w:p>
        </w:tc>
        <w:tc>
          <w:tcPr>
            <w:tcW w:type="dxa" w:w="1800"/>
          </w:tcPr>
          <w:p>
            <w:r>
              <w:t xml:space="preserve">3rd of 14</w:t>
            </w:r>
          </w:p>
        </w:tc>
        <w:tc>
          <w:tcPr>
            <w:tcW w:type="dxa" w:w="6080"/>
          </w:tcPr>
          <w:p>
            <w:r>
              <w:t xml:space="preserve">Lost points on market sizing</w:t>
            </w:r>
          </w:p>
        </w:tc>
      </w:tr>
    </w:tbl>
    <w:p>
      <w:pPr>
        <w:pStyle w:val="Heading1"/>
        <w:spacing w:after="160" w:before="280"/>
      </w:pPr>
      <w:r>
        <w:t xml:space="preserve">Key learnings</w:t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Market sizing needs a cited source, not just a number. Rebecca Cho's questioning on the $4.2B TAM was the clearest sign of this, and it tracks with where we lost analysis points.</w:t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Q&amp;A deserves dedicated practice time. The Michigan team treats Q&amp;A as its own practice block every session — we didn't, and it showed in how hard it was to read the judges during our own presentation.</w:t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Prep time was tilted too far toward the model. Too much of the 20-minute prep window went to the financial model, which meant no full run-through of delivery before presenting.</w:t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A tight opening sets the tone. Michigan's opening was noticeably sharper than ours — straight into the framework within two sentences.</w:t>
      </w:r>
    </w:p>
    <w:p>
      <w:pPr>
        <w:pStyle w:val="Heading1"/>
        <w:spacing w:after="160" w:before="280"/>
      </w:pPr>
      <w:r>
        <w:t xml:space="preserve">What we'd do differently</w:t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Build a dedicated Q&amp;A practice segment into prep sessions rather than treating it as leftover time.</w:t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Require a cited source behind any headline market-sizing number before it goes on a slide.</w:t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Rebalance prep time so the financial model doesn't crowd out a full delivery run-through.</w:t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Tighten the opening to a couple of sentences before moving into the framework.</w:t>
      </w:r>
    </w:p>
    <w:p>
      <w:pPr>
        <w:pStyle w:val="Heading1"/>
        <w:spacing w:after="160" w:before="280"/>
      </w:pPr>
      <w:r>
        <w:t xml:space="preserve">Thank-yous</w:t>
      </w:r>
    </w:p>
    <w:p>
      <w:pPr>
        <w:spacing w:after="200"/>
      </w:pPr>
      <w:r>
        <w:t xml:space="preserve">Thank you to </w:t>
      </w:r>
      <w:r>
        <w:rPr>
          <w:b/>
          <w:bCs/>
        </w:rPr>
        <w:t xml:space="preserve">James Chen</w:t>
      </w:r>
      <w:r>
        <w:t xml:space="preserve"> (McKinsey, alum, ~2018) for his advice at the alumni reception on structuring the opening. Thank you to </w:t>
      </w:r>
      <w:r>
        <w:rPr>
          <w:b/>
          <w:bCs/>
        </w:rPr>
        <w:t xml:space="preserve">Rachel Sung</w:t>
      </w:r>
      <w:r>
        <w:t xml:space="preserve"> (Bain), who judges these competitions regularly and shared that presentation score is often underweighted by teams. And thank you to Marcus, Priya, and Jordan for the work put in under a tight prep timeline.</w:t>
      </w:r>
    </w:p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999999"/>
        <w:sz w:val="16"/>
        <w:szCs w:val="16"/>
      </w:rPr>
      <w:t xml:space="preserve">Apex Consulting Club · Internal document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tabs>
        <w:tab w:val="right" w:pos="10080"/>
      </w:tabs>
      <w:jc w:val="right"/>
    </w:pPr>
    <w:r>
      <w:rPr>
        <w:color w:val="808080"/>
        <w:sz w:val="18"/>
        <w:szCs w:val="18"/>
      </w:rPr>
      <w:t xml:space="preserve">Apex Consulting Club</w:t>
    </w:r>
    <w:r>
      <w:rPr>
        <w:color w:val="808080"/>
        <w:sz w:val="18"/>
        <w:szCs w:val="18"/>
      </w:rPr>
      <w:t xml:space="preserve">	Event Recap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2026-08-20T14:52:42.116Z</dcterms:created>
  <dcterms:modified xsi:type="dcterms:W3CDTF">2026-08-20T14:52:42.129Z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