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1F3864"/>
          <w:sz w:val="52"/>
          <w:szCs w:val="52"/>
        </w:rPr>
        <w:t xml:space="preserve">Event Recap</w:t>
      </w:r>
    </w:p>
    <w:p>
      <w:pPr>
        <w:spacing w:after="60"/>
      </w:pPr>
      <w:r>
        <w:rPr>
          <w:rFonts w:ascii="Arial" w:cs="Arial" w:eastAsia="Arial" w:hAnsi="Arial"/>
          <w:color w:val="444444"/>
          <w:sz w:val="26"/>
          <w:szCs w:val="26"/>
        </w:rPr>
        <w:t xml:space="preserve">Midwest Regional Case Invitational — Fall 2024</w:t>
      </w:r>
    </w:p>
    <w:p>
      <w:pPr>
        <w:spacing w:after="320"/>
      </w:pPr>
      <w:r>
        <w:rPr>
          <w:rFonts w:ascii="Arial" w:cs="Arial" w:eastAsia="Arial" w:hAnsi="Arial"/>
          <w:i/>
          <w:iCs/>
          <w:color w:val="888888"/>
          <w:sz w:val="20"/>
          <w:szCs w:val="20"/>
        </w:rPr>
        <w:t xml:space="preserve">Prepared by the Apex Consulting Club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EDF2FA" w:val="clear"/>
            <w:tcMar>
              <w:top w:type="dxa" w:w="80"/>
              <w:left w:type="dxa" w:w="120"/>
              <w:bottom w:type="dxa" w:w="80"/>
              <w:right w:type="dxa" w:w="120"/>
            </w:tcMar>
          </w:tcPr>
          <w:p>
            <w:r>
              <w:rPr>
                <w:rFonts w:ascii="Arial" w:cs="Arial" w:eastAsia="Arial" w:hAnsi="Arial"/>
                <w:b/>
                <w:bCs/>
                <w:color w:val="2E5EA8"/>
                <w:sz w:val="20"/>
                <w:szCs w:val="20"/>
              </w:rPr>
              <w:t xml:space="preserve">Date</w:t>
            </w:r>
          </w:p>
        </w:tc>
        <w:tc>
          <w:tcPr>
            <w:tcW w:type="dxa" w:w="7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October 5, 2024</w:t>
            </w:r>
          </w:p>
        </w:tc>
      </w:tr>
      <w:tr>
        <w:tc>
          <w:tcPr>
            <w:tcW w:type="dxa" w:w="2200"/>
            <w:tcBorders>
              <w:top w:val="single" w:color="CCCCCC" w:sz="1"/>
              <w:left w:val="single" w:color="CCCCCC" w:sz="1"/>
              <w:bottom w:val="single" w:color="CCCCCC" w:sz="1"/>
              <w:right w:val="single" w:color="CCCCCC" w:sz="1"/>
            </w:tcBorders>
            <w:shd w:fill="EDF2FA" w:val="clear"/>
            <w:tcMar>
              <w:top w:type="dxa" w:w="80"/>
              <w:left w:type="dxa" w:w="120"/>
              <w:bottom w:type="dxa" w:w="80"/>
              <w:right w:type="dxa" w:w="120"/>
            </w:tcMar>
          </w:tcPr>
          <w:p>
            <w:r>
              <w:rPr>
                <w:rFonts w:ascii="Arial" w:cs="Arial" w:eastAsia="Arial" w:hAnsi="Arial"/>
                <w:b/>
                <w:bCs/>
                <w:color w:val="2E5EA8"/>
                <w:sz w:val="20"/>
                <w:szCs w:val="20"/>
              </w:rPr>
              <w:t xml:space="preserve">Location</w:t>
            </w:r>
          </w:p>
        </w:tc>
        <w:tc>
          <w:tcPr>
            <w:tcW w:type="dxa" w:w="7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Booth School of Business, Chicago, IL</w:t>
            </w:r>
          </w:p>
        </w:tc>
      </w:tr>
      <w:tr>
        <w:tc>
          <w:tcPr>
            <w:tcW w:type="dxa" w:w="2200"/>
            <w:tcBorders>
              <w:top w:val="single" w:color="CCCCCC" w:sz="1"/>
              <w:left w:val="single" w:color="CCCCCC" w:sz="1"/>
              <w:bottom w:val="single" w:color="CCCCCC" w:sz="1"/>
              <w:right w:val="single" w:color="CCCCCC" w:sz="1"/>
            </w:tcBorders>
            <w:shd w:fill="EDF2FA" w:val="clear"/>
            <w:tcMar>
              <w:top w:type="dxa" w:w="80"/>
              <w:left w:type="dxa" w:w="120"/>
              <w:bottom w:type="dxa" w:w="80"/>
              <w:right w:type="dxa" w:w="120"/>
            </w:tcMar>
          </w:tcPr>
          <w:p>
            <w:r>
              <w:rPr>
                <w:rFonts w:ascii="Arial" w:cs="Arial" w:eastAsia="Arial" w:hAnsi="Arial"/>
                <w:b/>
                <w:bCs/>
                <w:color w:val="2E5EA8"/>
                <w:sz w:val="20"/>
                <w:szCs w:val="20"/>
              </w:rPr>
              <w:t xml:space="preserve">Format</w:t>
            </w:r>
          </w:p>
        </w:tc>
        <w:tc>
          <w:tcPr>
            <w:tcW w:type="dxa" w:w="7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30-minute case, 15-minute Q&amp;A, panel of four judges</w:t>
            </w:r>
          </w:p>
        </w:tc>
      </w:tr>
      <w:tr>
        <w:tc>
          <w:tcPr>
            <w:tcW w:type="dxa" w:w="2200"/>
            <w:tcBorders>
              <w:top w:val="single" w:color="CCCCCC" w:sz="1"/>
              <w:left w:val="single" w:color="CCCCCC" w:sz="1"/>
              <w:bottom w:val="single" w:color="CCCCCC" w:sz="1"/>
              <w:right w:val="single" w:color="CCCCCC" w:sz="1"/>
            </w:tcBorders>
            <w:shd w:fill="EDF2FA" w:val="clear"/>
            <w:tcMar>
              <w:top w:type="dxa" w:w="80"/>
              <w:left w:type="dxa" w:w="120"/>
              <w:bottom w:type="dxa" w:w="80"/>
              <w:right w:type="dxa" w:w="120"/>
            </w:tcMar>
          </w:tcPr>
          <w:p>
            <w:r>
              <w:rPr>
                <w:rFonts w:ascii="Arial" w:cs="Arial" w:eastAsia="Arial" w:hAnsi="Arial"/>
                <w:b/>
                <w:bCs/>
                <w:color w:val="2E5EA8"/>
                <w:sz w:val="20"/>
                <w:szCs w:val="20"/>
              </w:rPr>
              <w:t xml:space="preserve">Team</w:t>
            </w:r>
          </w:p>
        </w:tc>
        <w:tc>
          <w:tcPr>
            <w:tcW w:type="dxa" w:w="7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Amara Diallo, Kevin Park, Tess Whitfield, Rohan Mehta</w:t>
            </w:r>
          </w:p>
        </w:tc>
      </w:tr>
      <w:tr>
        <w:tc>
          <w:tcPr>
            <w:tcW w:type="dxa" w:w="2200"/>
            <w:tcBorders>
              <w:top w:val="single" w:color="CCCCCC" w:sz="1"/>
              <w:left w:val="single" w:color="CCCCCC" w:sz="1"/>
              <w:bottom w:val="single" w:color="CCCCCC" w:sz="1"/>
              <w:right w:val="single" w:color="CCCCCC" w:sz="1"/>
            </w:tcBorders>
            <w:shd w:fill="EDF2FA" w:val="clear"/>
            <w:tcMar>
              <w:top w:type="dxa" w:w="80"/>
              <w:left w:type="dxa" w:w="120"/>
              <w:bottom w:type="dxa" w:w="80"/>
              <w:right w:type="dxa" w:w="120"/>
            </w:tcMar>
          </w:tcPr>
          <w:p>
            <w:r>
              <w:rPr>
                <w:rFonts w:ascii="Arial" w:cs="Arial" w:eastAsia="Arial" w:hAnsi="Arial"/>
                <w:b/>
                <w:bCs/>
                <w:color w:val="2E5EA8"/>
                <w:sz w:val="20"/>
                <w:szCs w:val="20"/>
              </w:rPr>
              <w:t xml:space="preserve">Competing teams</w:t>
            </w:r>
          </w:p>
        </w:tc>
        <w:tc>
          <w:tcPr>
            <w:tcW w:type="dxa" w:w="71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9 teams from 7 universities</w:t>
            </w:r>
          </w:p>
        </w:tc>
      </w:tr>
    </w:tbl>
    <w:p>
      <w:pPr>
        <w:spacing w:after="80"/>
      </w:pPr>
      <w:r>
        <w:t xml:space="preserve"/>
      </w:r>
    </w:p>
    <w:p>
      <w:pPr>
        <w:pStyle w:val="Heading1"/>
        <w:spacing w:after="120" w:before="280"/>
      </w:pPr>
      <w:r>
        <w:rPr>
          <w:rFonts w:ascii="Arial" w:cs="Arial" w:eastAsia="Arial" w:hAnsi="Arial"/>
        </w:rPr>
        <w:t xml:space="preserve">Results</w:t>
      </w:r>
    </w:p>
    <w:p>
      <w:pPr>
        <w:spacing w:after="120"/>
      </w:pPr>
      <w:r>
        <w:rPr>
          <w:rFonts w:ascii="Arial" w:cs="Arial" w:eastAsia="Arial" w:hAnsi="Arial"/>
          <w:sz w:val="22"/>
          <w:szCs w:val="22"/>
        </w:rPr>
        <w:t xml:space="preserve">We placed 1st overall — the club's first outright win at an invitational since 2019. Scores were close at the top; the judges cited our implementation roadmap as the deciding factor.</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Category</w:t>
            </w:r>
          </w:p>
        </w:tc>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Our rank</w:t>
            </w:r>
          </w:p>
        </w:tc>
        <w:tc>
          <w:tcPr>
            <w:tcW w:type="dxa" w:w="312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Note</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Overall</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1st of 9</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First win since 2019</w:t>
            </w:r>
          </w:p>
        </w:tc>
      </w:tr>
      <w:tr>
        <w:tc>
          <w:tcPr>
            <w:tcW w:type="dxa" w:w="3120"/>
            <w:tcBorders>
              <w:top w:val="single" w:color="CCCCCC" w:sz="1"/>
              <w:left w:val="single" w:color="CCCCCC" w:sz="1"/>
              <w:bottom w:val="single" w:color="CCCCCC" w:sz="1"/>
              <w:right w:val="single" w:color="CCCCCC" w:sz="1"/>
            </w:tcBorders>
            <w:shd w:fill="F5F7FB" w:val="clear"/>
            <w:tcMar>
              <w:top w:type="dxa" w:w="80"/>
              <w:left w:type="dxa" w:w="120"/>
              <w:bottom w:type="dxa" w:w="80"/>
              <w:right w:type="dxa" w:w="120"/>
            </w:tcMar>
          </w:tcPr>
          <w:p>
            <w:r>
              <w:rPr>
                <w:rFonts w:ascii="Arial" w:cs="Arial" w:eastAsia="Arial" w:hAnsi="Arial"/>
                <w:sz w:val="20"/>
                <w:szCs w:val="20"/>
              </w:rPr>
              <w:t xml:space="preserve">Implementation</w:t>
            </w:r>
          </w:p>
        </w:tc>
        <w:tc>
          <w:tcPr>
            <w:tcW w:type="dxa" w:w="3120"/>
            <w:tcBorders>
              <w:top w:val="single" w:color="CCCCCC" w:sz="1"/>
              <w:left w:val="single" w:color="CCCCCC" w:sz="1"/>
              <w:bottom w:val="single" w:color="CCCCCC" w:sz="1"/>
              <w:right w:val="single" w:color="CCCCCC" w:sz="1"/>
            </w:tcBorders>
            <w:shd w:fill="F5F7FB" w:val="clear"/>
            <w:tcMar>
              <w:top w:type="dxa" w:w="80"/>
              <w:left w:type="dxa" w:w="120"/>
              <w:bottom w:type="dxa" w:w="80"/>
              <w:right w:type="dxa" w:w="120"/>
            </w:tcMar>
          </w:tcPr>
          <w:p>
            <w:r>
              <w:rPr>
                <w:rFonts w:ascii="Arial" w:cs="Arial" w:eastAsia="Arial" w:hAnsi="Arial"/>
                <w:sz w:val="20"/>
                <w:szCs w:val="20"/>
              </w:rPr>
              <w:t xml:space="preserve">1st of 9</w:t>
            </w:r>
          </w:p>
        </w:tc>
        <w:tc>
          <w:tcPr>
            <w:tcW w:type="dxa" w:w="3120"/>
            <w:tcBorders>
              <w:top w:val="single" w:color="CCCCCC" w:sz="1"/>
              <w:left w:val="single" w:color="CCCCCC" w:sz="1"/>
              <w:bottom w:val="single" w:color="CCCCCC" w:sz="1"/>
              <w:right w:val="single" w:color="CCCCCC" w:sz="1"/>
            </w:tcBorders>
            <w:shd w:fill="F5F7FB" w:val="clear"/>
            <w:tcMar>
              <w:top w:type="dxa" w:w="80"/>
              <w:left w:type="dxa" w:w="120"/>
              <w:bottom w:type="dxa" w:w="80"/>
              <w:right w:type="dxa" w:w="120"/>
            </w:tcMar>
          </w:tcPr>
          <w:p>
            <w:r>
              <w:rPr>
                <w:rFonts w:ascii="Arial" w:cs="Arial" w:eastAsia="Arial" w:hAnsi="Arial"/>
                <w:sz w:val="20"/>
                <w:szCs w:val="20"/>
              </w:rPr>
              <w:t xml:space="preserve">Deciding factor per judges</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Financials</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3rd of 9</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Model was too detailed for the time</w:t>
            </w:r>
          </w:p>
        </w:tc>
      </w:tr>
    </w:tbl>
    <w:p>
      <w:pPr>
        <w:spacing w:after="80"/>
      </w:pPr>
      <w:r>
        <w:t xml:space="preserve"/>
      </w:r>
    </w:p>
    <w:p>
      <w:pPr>
        <w:pStyle w:val="Heading1"/>
        <w:spacing w:after="120" w:before="280"/>
      </w:pPr>
      <w:r>
        <w:rPr>
          <w:rFonts w:ascii="Arial" w:cs="Arial" w:eastAsia="Arial" w:hAnsi="Arial"/>
        </w:rPr>
        <w:t xml:space="preserve">Key learnings</w:t>
      </w:r>
    </w:p>
    <w:p>
      <w:pPr>
        <w:spacing w:after="120"/>
      </w:pPr>
      <w:r>
        <w:rPr>
          <w:rFonts w:ascii="Arial" w:cs="Arial" w:eastAsia="Arial" w:hAnsi="Arial"/>
          <w:sz w:val="22"/>
          <w:szCs w:val="22"/>
        </w:rPr>
        <w:t xml:space="preserve">Three things we're taking into next semester:</w:t>
      </w:r>
    </w:p>
    <w:p>
      <w:pPr>
        <w:pStyle w:val="ListParagraph"/>
        <w:numPr>
          <w:ilvl w:val="0"/>
          <w:numId w:val="2"/>
        </w:numPr>
        <w:spacing w:after="60"/>
      </w:pPr>
      <w:r>
        <w:rPr>
          <w:rFonts w:ascii="Arial" w:cs="Arial" w:eastAsia="Arial" w:hAnsi="Arial"/>
          <w:sz w:val="22"/>
          <w:szCs w:val="22"/>
        </w:rPr>
        <w:t xml:space="preserve">Implementation detail wins close calls. Our recommendation was similar to two other teams', but we had a phased roadmap with owners and timelines. That specificity was what the judges remembered.</w:t>
      </w:r>
    </w:p>
    <w:p>
      <w:pPr>
        <w:pStyle w:val="ListParagraph"/>
        <w:numPr>
          <w:ilvl w:val="0"/>
          <w:numId w:val="2"/>
        </w:numPr>
        <w:spacing w:after="60"/>
      </w:pPr>
      <w:r>
        <w:rPr>
          <w:rFonts w:ascii="Arial" w:cs="Arial" w:eastAsia="Arial" w:hAnsi="Arial"/>
          <w:sz w:val="22"/>
          <w:szCs w:val="22"/>
        </w:rPr>
        <w:t xml:space="preserve">Don't over-engineer the financial model. Rohan built a thorough three-scenario model, but we only had time to walk through one slide of it. For a 30-minute case, a simpler model you can actually explain beats a complex one you have to skip.</w:t>
      </w:r>
    </w:p>
    <w:p>
      <w:pPr>
        <w:pStyle w:val="ListParagraph"/>
        <w:numPr>
          <w:ilvl w:val="0"/>
          <w:numId w:val="2"/>
        </w:numPr>
        <w:spacing w:after="60"/>
      </w:pPr>
      <w:r>
        <w:rPr>
          <w:rFonts w:ascii="Arial" w:cs="Arial" w:eastAsia="Arial" w:hAnsi="Arial"/>
          <w:sz w:val="22"/>
          <w:szCs w:val="22"/>
        </w:rPr>
        <w:t xml:space="preserve">Arrive early enough to see the room. We walked into the presentation space for the first time with 90 seconds to spare. Knowing the layout, the screen size, and where the judges sit would have changed how we set up our slides.</w:t>
      </w:r>
    </w:p>
    <w:p>
      <w:pPr>
        <w:spacing w:after="80"/>
      </w:pPr>
      <w:r>
        <w:t xml:space="preserve"/>
      </w:r>
    </w:p>
    <w:p>
      <w:pPr>
        <w:pStyle w:val="Heading1"/>
        <w:spacing w:after="120" w:before="280"/>
      </w:pPr>
      <w:r>
        <w:rPr>
          <w:rFonts w:ascii="Arial" w:cs="Arial" w:eastAsia="Arial" w:hAnsi="Arial"/>
        </w:rPr>
        <w:t xml:space="preserve">What we'd do differently</w:t>
      </w:r>
    </w:p>
    <w:p>
      <w:pPr>
        <w:pStyle w:val="ListParagraph"/>
        <w:numPr>
          <w:ilvl w:val="0"/>
          <w:numId w:val="2"/>
        </w:numPr>
        <w:spacing w:after="60"/>
      </w:pPr>
      <w:r>
        <w:rPr>
          <w:rFonts w:ascii="Arial" w:cs="Arial" w:eastAsia="Arial" w:hAnsi="Arial"/>
          <w:sz w:val="22"/>
          <w:szCs w:val="22"/>
        </w:rPr>
        <w:t xml:space="preserve">Cap the financial model at two scenarios and spend the saved time on the implementation slide.</w:t>
      </w:r>
    </w:p>
    <w:p>
      <w:pPr>
        <w:pStyle w:val="ListParagraph"/>
        <w:numPr>
          <w:ilvl w:val="0"/>
          <w:numId w:val="2"/>
        </w:numPr>
        <w:spacing w:after="60"/>
      </w:pPr>
      <w:r>
        <w:rPr>
          <w:rFonts w:ascii="Arial" w:cs="Arial" w:eastAsia="Arial" w:hAnsi="Arial"/>
          <w:sz w:val="22"/>
          <w:szCs w:val="22"/>
        </w:rPr>
        <w:t xml:space="preserve">Do a site visit — or at minimum ask the organizers for room specs — before competition day.</w:t>
      </w:r>
    </w:p>
    <w:p>
      <w:pPr>
        <w:pStyle w:val="ListParagraph"/>
        <w:numPr>
          <w:ilvl w:val="0"/>
          <w:numId w:val="2"/>
        </w:numPr>
        <w:spacing w:after="60"/>
      </w:pPr>
      <w:r>
        <w:rPr>
          <w:rFonts w:ascii="Arial" w:cs="Arial" w:eastAsia="Arial" w:hAnsi="Arial"/>
          <w:sz w:val="22"/>
          <w:szCs w:val="22"/>
        </w:rPr>
        <w:t xml:space="preserve">Assign one person to own the conclusion. Ours was strong but slightly split between Amara and Kevin. A single, rehearsed close would have been cleaner.</w:t>
      </w:r>
    </w:p>
    <w:p>
      <w:pPr>
        <w:spacing w:after="80"/>
      </w:pPr>
      <w:r>
        <w:t xml:space="preserve"/>
      </w:r>
    </w:p>
    <w:p>
      <w:pPr>
        <w:pStyle w:val="Heading1"/>
        <w:spacing w:after="120" w:before="280"/>
      </w:pPr>
      <w:r>
        <w:rPr>
          <w:rFonts w:ascii="Arial" w:cs="Arial" w:eastAsia="Arial" w:hAnsi="Arial"/>
        </w:rPr>
        <w:t xml:space="preserve">Thank-yous</w:t>
      </w:r>
    </w:p>
    <w:p>
      <w:pPr>
        <w:spacing w:after="120"/>
      </w:pPr>
      <w:r>
        <w:rPr>
          <w:rFonts w:ascii="Arial" w:cs="Arial" w:eastAsia="Arial" w:hAnsi="Arial"/>
          <w:sz w:val="22"/>
          <w:szCs w:val="22"/>
        </w:rPr>
        <w:t xml:space="preserve">Thank you to Professor James Okafor for running the two weekend prep sessions and for pushing us on implementation specificity — that feedback directly shaped our winning slide. Thank you to Nina Hartley (BCG, Class of 2017) for the case crack session the Thursday before and for connecting us with the Booth organizers. And thank you to the club members who sat in on our practice rounds and asked the hard questions.</w:t>
      </w:r>
    </w:p>
    <w:p>
      <w:pPr>
        <w:spacing w:after="8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tabs>
        <w:tab w:val="right" w:pos="9360"/>
      </w:tabs>
    </w:pPr>
    <w:r>
      <w:rPr>
        <w:rFonts w:ascii="Arial" w:cs="Arial" w:eastAsia="Arial" w:hAnsi="Arial"/>
        <w:color w:val="AAAAAA"/>
        <w:sz w:val="16"/>
        <w:szCs w:val="16"/>
      </w:rPr>
      <w:t xml:space="preserve">Apex Consulting Club · Internal document</w:t>
    </w:r>
    <w:r>
      <w:rPr>
        <w:rFonts w:ascii="Arial" w:cs="Arial" w:eastAsia="Arial" w:hAnsi="Arial"/>
        <w:sz w:val="16"/>
        <w:szCs w:val="16"/>
      </w:rPr>
      <w:t xml:space="preserve">	</w:t>
    </w:r>
    <w:r>
      <w:rPr>
        <w:rFonts w:ascii="Arial" w:cs="Arial" w:eastAsia="Arial" w:hAnsi="Arial"/>
        <w:color w:val="AAAAA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tabs>
        <w:tab w:val="right" w:pos="9360"/>
      </w:tabs>
    </w:pPr>
    <w:r>
      <w:rPr>
        <w:rFonts w:ascii="Arial" w:cs="Arial" w:eastAsia="Arial" w:hAnsi="Arial"/>
        <w:color w:val="888888"/>
        <w:sz w:val="18"/>
        <w:szCs w:val="18"/>
      </w:rPr>
      <w:t xml:space="preserve">Apex Consulting Club</w:t>
    </w:r>
    <w:r>
      <w:rPr>
        <w:rFonts w:ascii="Arial" w:cs="Arial" w:eastAsia="Arial" w:hAnsi="Arial"/>
        <w:color w:val="888888"/>
        <w:sz w:val="18"/>
        <w:szCs w:val="18"/>
      </w:rPr>
      <w:t xml:space="preserve">	Event Recap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Arial" w:cs="Arial" w:eastAsia="Arial" w:hAnsi="Arial"/>
      <w:b/>
      <w:bCs/>
      <w:color w:val="1F3864"/>
      <w:sz w:val="32"/>
      <w:szCs w:val="32"/>
    </w:rPr>
  </w:style>
  <w:style w:type="paragraph" w:styleId="Heading2">
    <w:name w:val="Heading 2"/>
    <w:basedOn w:val="Normal"/>
    <w:next w:val="Normal"/>
    <w:qFormat/>
    <w:pPr>
      <w:spacing w:after="80" w:before="200"/>
      <w:outlineLvl w:val="1"/>
    </w:pPr>
    <w:rPr>
      <w:rFonts w:ascii="Arial" w:cs="Arial" w:eastAsia="Arial" w:hAnsi="Arial"/>
      <w:b/>
      <w:bCs/>
      <w:color w:val="2E5EA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2026-05-21T15:50:55.090Z</dcterms:created>
  <dcterms:modified xsi:type="dcterms:W3CDTF">2026-05-21T15:50:55.090Z</dcterms:modified>
</cp:coreProperties>
</file>

<file path=docProps/custom.xml><?xml version="1.0" encoding="utf-8"?>
<Properties xmlns="http://schemas.openxmlformats.org/officeDocument/2006/custom-properties" xmlns:vt="http://schemas.openxmlformats.org/officeDocument/2006/docPropsVTypes"/>
</file>