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Arial" w:cs="Arial" w:eastAsia="Arial" w:hAnsi="Arial"/>
          <w:b/>
          <w:bCs/>
          <w:color w:val="1A3560"/>
          <w:sz w:val="40"/>
          <w:szCs w:val="40"/>
        </w:rPr>
        <w:t xml:space="preserve">National Undergraduate Case Championship</w:t>
      </w:r>
    </w:p>
    <w:p>
      <w:pPr>
        <w:spacing w:after="320"/>
      </w:pPr>
      <w:r>
        <w:rPr>
          <w:rFonts w:ascii="Arial" w:cs="Arial" w:eastAsia="Arial" w:hAnsi="Arial"/>
          <w:color w:val="555555"/>
          <w:sz w:val="22"/>
          <w:szCs w:val="22"/>
        </w:rPr>
        <w:t xml:space="preserve">Fall 2025  ·  Hosted by Ross School of Business</w:t>
      </w:r>
    </w:p>
    <w:p>
      <w:pPr>
        <w:spacing w:after="120"/>
      </w:pPr>
      <w:r>
        <w:rPr>
          <w:rFonts w:ascii="Arial" w:cs="Arial" w:eastAsia="Arial" w:hAnsi="Arial"/>
          <w:sz w:val="22"/>
          <w:szCs w:val="22"/>
        </w:rPr>
        <w:t xml:space="preserve">Dear Participant,</w:t>
      </w:r>
    </w:p>
    <w:p>
      <w:pPr>
        <w:spacing w:after="80"/>
      </w:pPr>
      <w:r>
        <w:t xml:space="preserve"/>
      </w:r>
    </w:p>
    <w:p>
      <w:pPr>
        <w:spacing w:after="120"/>
      </w:pPr>
      <w:r>
        <w:rPr>
          <w:rFonts w:ascii="Arial" w:cs="Arial" w:eastAsia="Arial" w:hAnsi="Arial"/>
          <w:sz w:val="22"/>
          <w:szCs w:val="22"/>
        </w:rPr>
        <w:t xml:space="preserve">We are pleased to confirm your team's registration for the Fall 2025 National Undergraduate Case Championship. This letter contains all logistical and competition details you will need. Please distribute it to all team members and retain it for reference on competition day.</w:t>
      </w:r>
    </w:p>
    <w:p>
      <w:pPr>
        <w:spacing w:after="80"/>
      </w:pPr>
      <w:r>
        <w:t xml:space="preserve"/>
      </w:r>
    </w:p>
    <w:p>
      <w:pPr>
        <w:pBdr>
          <w:bottom w:val="single" w:color="E0E0E0" w:sz="4" w:space="4"/>
        </w:pBdr>
        <w:spacing w:after="60" w:before="240"/>
      </w:pPr>
      <w:r>
        <w:rPr>
          <w:rFonts w:ascii="Arial" w:cs="Arial" w:eastAsia="Arial" w:hAnsi="Arial"/>
          <w:b/>
          <w:bCs/>
          <w:color w:val="888888"/>
          <w:spacing w:val="40"/>
          <w:sz w:val="18"/>
          <w:szCs w:val="18"/>
        </w:rPr>
        <w:t xml:space="preserve">EVENT DETAILS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CCCCC" w:sz="1"/>
              <w:left w:val="single" w:color="CCCCCC" w:sz="1"/>
              <w:bottom w:val="single" w:color="CCCCCC" w:sz="1"/>
              <w:right w:val="single" w:color="CCCCCC" w:sz="1"/>
            </w:tcBorders>
            <w:shd w:fill="F0F4FA" w:val="clear"/>
            <w:tcMar>
              <w:top w:type="dxa" w:w="80"/>
              <w:left w:type="dxa" w:w="120"/>
              <w:bottom w:type="dxa" w:w="80"/>
              <w:right w:type="dxa" w:w="120"/>
            </w:tcMar>
          </w:tcPr>
          <w:p>
            <w:r>
              <w:rPr>
                <w:rFonts w:ascii="Arial" w:cs="Arial" w:eastAsia="Arial" w:hAnsi="Arial"/>
                <w:b/>
                <w:bCs/>
                <w:sz w:val="20"/>
                <w:szCs w:val="20"/>
              </w:rPr>
              <w:t xml:space="preserve">Date</w:t>
            </w:r>
          </w:p>
        </w:tc>
        <w:tc>
          <w:tcPr>
            <w:tcW w:type="dxa" w:w="6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Saturday, November 8, 2025</w:t>
            </w:r>
          </w:p>
        </w:tc>
      </w:tr>
      <w:tr>
        <w:tc>
          <w:tcPr>
            <w:tcW w:type="dxa" w:w="2400"/>
            <w:tcBorders>
              <w:top w:val="single" w:color="CCCCCC" w:sz="1"/>
              <w:left w:val="single" w:color="CCCCCC" w:sz="1"/>
              <w:bottom w:val="single" w:color="CCCCCC" w:sz="1"/>
              <w:right w:val="single" w:color="CCCCCC" w:sz="1"/>
            </w:tcBorders>
            <w:shd w:fill="F0F4FA" w:val="clear"/>
            <w:tcMar>
              <w:top w:type="dxa" w:w="80"/>
              <w:left w:type="dxa" w:w="120"/>
              <w:bottom w:type="dxa" w:w="80"/>
              <w:right w:type="dxa" w:w="120"/>
            </w:tcMar>
          </w:tcPr>
          <w:p>
            <w:r>
              <w:rPr>
                <w:rFonts w:ascii="Arial" w:cs="Arial" w:eastAsia="Arial" w:hAnsi="Arial"/>
                <w:b/>
                <w:bCs/>
                <w:sz w:val="20"/>
                <w:szCs w:val="20"/>
              </w:rPr>
              <w:t xml:space="preserve">Venue</w:t>
            </w:r>
          </w:p>
        </w:tc>
        <w:tc>
          <w:tcPr>
            <w:tcW w:type="dxa" w:w="6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Ross School of Business, Room R1240 (Kresge Hall), Ann Arbor, MI 48109</w:t>
            </w:r>
          </w:p>
        </w:tc>
      </w:tr>
      <w:tr>
        <w:tc>
          <w:tcPr>
            <w:tcW w:type="dxa" w:w="2400"/>
            <w:tcBorders>
              <w:top w:val="single" w:color="CCCCCC" w:sz="1"/>
              <w:left w:val="single" w:color="CCCCCC" w:sz="1"/>
              <w:bottom w:val="single" w:color="CCCCCC" w:sz="1"/>
              <w:right w:val="single" w:color="CCCCCC" w:sz="1"/>
            </w:tcBorders>
            <w:shd w:fill="F0F4FA" w:val="clear"/>
            <w:tcMar>
              <w:top w:type="dxa" w:w="80"/>
              <w:left w:type="dxa" w:w="120"/>
              <w:bottom w:type="dxa" w:w="80"/>
              <w:right w:type="dxa" w:w="120"/>
            </w:tcMar>
          </w:tcPr>
          <w:p>
            <w:r>
              <w:rPr>
                <w:rFonts w:ascii="Arial" w:cs="Arial" w:eastAsia="Arial" w:hAnsi="Arial"/>
                <w:b/>
                <w:bCs/>
                <w:sz w:val="20"/>
                <w:szCs w:val="20"/>
              </w:rPr>
              <w:t xml:space="preserve">Check-in opens</w:t>
            </w:r>
          </w:p>
        </w:tc>
        <w:tc>
          <w:tcPr>
            <w:tcW w:type="dxa" w:w="6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8:30 AM</w:t>
            </w:r>
          </w:p>
        </w:tc>
      </w:tr>
      <w:tr>
        <w:tc>
          <w:tcPr>
            <w:tcW w:type="dxa" w:w="2400"/>
            <w:tcBorders>
              <w:top w:val="single" w:color="CCCCCC" w:sz="1"/>
              <w:left w:val="single" w:color="CCCCCC" w:sz="1"/>
              <w:bottom w:val="single" w:color="CCCCCC" w:sz="1"/>
              <w:right w:val="single" w:color="CCCCCC" w:sz="1"/>
            </w:tcBorders>
            <w:shd w:fill="F0F4FA" w:val="clear"/>
            <w:tcMar>
              <w:top w:type="dxa" w:w="80"/>
              <w:left w:type="dxa" w:w="120"/>
              <w:bottom w:type="dxa" w:w="80"/>
              <w:right w:type="dxa" w:w="120"/>
            </w:tcMar>
          </w:tcPr>
          <w:p>
            <w:r>
              <w:rPr>
                <w:rFonts w:ascii="Arial" w:cs="Arial" w:eastAsia="Arial" w:hAnsi="Arial"/>
                <w:b/>
                <w:bCs/>
                <w:sz w:val="20"/>
                <w:szCs w:val="20"/>
              </w:rPr>
              <w:t xml:space="preserve">Opening remarks</w:t>
            </w:r>
          </w:p>
        </w:tc>
        <w:tc>
          <w:tcPr>
            <w:tcW w:type="dxa" w:w="6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9:00 AM</w:t>
            </w:r>
          </w:p>
        </w:tc>
      </w:tr>
      <w:tr>
        <w:tc>
          <w:tcPr>
            <w:tcW w:type="dxa" w:w="2400"/>
            <w:tcBorders>
              <w:top w:val="single" w:color="CCCCCC" w:sz="1"/>
              <w:left w:val="single" w:color="CCCCCC" w:sz="1"/>
              <w:bottom w:val="single" w:color="CCCCCC" w:sz="1"/>
              <w:right w:val="single" w:color="CCCCCC" w:sz="1"/>
            </w:tcBorders>
            <w:shd w:fill="F0F4FA" w:val="clear"/>
            <w:tcMar>
              <w:top w:type="dxa" w:w="80"/>
              <w:left w:type="dxa" w:w="120"/>
              <w:bottom w:type="dxa" w:w="80"/>
              <w:right w:type="dxa" w:w="120"/>
            </w:tcMar>
          </w:tcPr>
          <w:p>
            <w:r>
              <w:rPr>
                <w:rFonts w:ascii="Arial" w:cs="Arial" w:eastAsia="Arial" w:hAnsi="Arial"/>
                <w:b/>
                <w:bCs/>
                <w:sz w:val="20"/>
                <w:szCs w:val="20"/>
              </w:rPr>
              <w:t xml:space="preserve">Case distributed</w:t>
            </w:r>
          </w:p>
        </w:tc>
        <w:tc>
          <w:tcPr>
            <w:tcW w:type="dxa" w:w="6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9:15 AM</w:t>
            </w:r>
          </w:p>
        </w:tc>
      </w:tr>
      <w:tr>
        <w:tc>
          <w:tcPr>
            <w:tcW w:type="dxa" w:w="2400"/>
            <w:tcBorders>
              <w:top w:val="single" w:color="CCCCCC" w:sz="1"/>
              <w:left w:val="single" w:color="CCCCCC" w:sz="1"/>
              <w:bottom w:val="single" w:color="CCCCCC" w:sz="1"/>
              <w:right w:val="single" w:color="CCCCCC" w:sz="1"/>
            </w:tcBorders>
            <w:shd w:fill="F0F4FA" w:val="clear"/>
            <w:tcMar>
              <w:top w:type="dxa" w:w="80"/>
              <w:left w:type="dxa" w:w="120"/>
              <w:bottom w:type="dxa" w:w="80"/>
              <w:right w:type="dxa" w:w="120"/>
            </w:tcMar>
          </w:tcPr>
          <w:p>
            <w:r>
              <w:rPr>
                <w:rFonts w:ascii="Arial" w:cs="Arial" w:eastAsia="Arial" w:hAnsi="Arial"/>
                <w:b/>
                <w:bCs/>
                <w:sz w:val="20"/>
                <w:szCs w:val="20"/>
              </w:rPr>
              <w:t xml:space="preserve">Presentations begin</w:t>
            </w:r>
          </w:p>
        </w:tc>
        <w:tc>
          <w:tcPr>
            <w:tcW w:type="dxa" w:w="6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9:35 AM (teams assigned slots by draw)</w:t>
            </w:r>
          </w:p>
        </w:tc>
      </w:tr>
      <w:tr>
        <w:tc>
          <w:tcPr>
            <w:tcW w:type="dxa" w:w="2400"/>
            <w:tcBorders>
              <w:top w:val="single" w:color="CCCCCC" w:sz="1"/>
              <w:left w:val="single" w:color="CCCCCC" w:sz="1"/>
              <w:bottom w:val="single" w:color="CCCCCC" w:sz="1"/>
              <w:right w:val="single" w:color="CCCCCC" w:sz="1"/>
            </w:tcBorders>
            <w:shd w:fill="F0F4FA" w:val="clear"/>
            <w:tcMar>
              <w:top w:type="dxa" w:w="80"/>
              <w:left w:type="dxa" w:w="120"/>
              <w:bottom w:type="dxa" w:w="80"/>
              <w:right w:type="dxa" w:w="120"/>
            </w:tcMar>
          </w:tcPr>
          <w:p>
            <w:r>
              <w:rPr>
                <w:rFonts w:ascii="Arial" w:cs="Arial" w:eastAsia="Arial" w:hAnsi="Arial"/>
                <w:b/>
                <w:bCs/>
                <w:sz w:val="20"/>
                <w:szCs w:val="20"/>
              </w:rPr>
              <w:t xml:space="preserve">Awards &amp; reception</w:t>
            </w:r>
          </w:p>
        </w:tc>
        <w:tc>
          <w:tcPr>
            <w:tcW w:type="dxa" w:w="69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5:30 PM</w:t>
            </w:r>
          </w:p>
        </w:tc>
      </w:tr>
    </w:tbl>
    <w:p>
      <w:pPr>
        <w:spacing w:after="80"/>
      </w:pPr>
      <w:r>
        <w:t xml:space="preserve"/>
      </w:r>
    </w:p>
    <w:p>
      <w:pPr>
        <w:pBdr>
          <w:bottom w:val="single" w:color="E0E0E0" w:sz="4" w:space="4"/>
        </w:pBdr>
        <w:spacing w:after="60" w:before="240"/>
      </w:pPr>
      <w:r>
        <w:rPr>
          <w:rFonts w:ascii="Arial" w:cs="Arial" w:eastAsia="Arial" w:hAnsi="Arial"/>
          <w:b/>
          <w:bCs/>
          <w:color w:val="888888"/>
          <w:spacing w:val="40"/>
          <w:sz w:val="18"/>
          <w:szCs w:val="18"/>
        </w:rPr>
        <w:t xml:space="preserve">COMPETITION FORMAT</w:t>
      </w:r>
    </w:p>
    <w:p>
      <w:pPr>
        <w:spacing w:after="80"/>
      </w:pPr>
      <w:r>
        <w:t xml:space="preserve"/>
      </w:r>
    </w:p>
    <w:p>
      <w:pPr>
        <w:spacing w:after="120"/>
      </w:pPr>
      <w:r>
        <w:rPr>
          <w:rFonts w:ascii="Arial" w:cs="Arial" w:eastAsia="Arial" w:hAnsi="Arial"/>
          <w:sz w:val="22"/>
          <w:szCs w:val="22"/>
        </w:rPr>
        <w:t xml:space="preserve">Each team will receive the same case simultaneously at 9:15 AM. The case covers a real strategic decision in the retail and consumer goods sector; no additional information will be provided beyond what is in the case packet.</w:t>
      </w:r>
    </w:p>
    <w:p>
      <w:pPr>
        <w:spacing w:after="80"/>
      </w:pPr>
      <w:r>
        <w:t xml:space="preserve"/>
      </w:r>
    </w:p>
    <w:p>
      <w:pPr>
        <w:spacing w:after="120"/>
      </w:pPr>
      <w:r>
        <w:rPr>
          <w:rFonts w:ascii="Arial" w:cs="Arial" w:eastAsia="Arial" w:hAnsi="Arial"/>
          <w:sz w:val="22"/>
          <w:szCs w:val="22"/>
        </w:rPr>
        <w:t xml:space="preserve">Timing per team: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F0F4FA" w:val="clear"/>
            <w:tcMar>
              <w:top w:type="dxa" w:w="80"/>
              <w:left w:type="dxa" w:w="120"/>
              <w:bottom w:type="dxa" w:w="80"/>
              <w:right w:type="dxa" w:w="120"/>
            </w:tcMar>
          </w:tcPr>
          <w:p>
            <w:r>
              <w:rPr>
                <w:rFonts w:ascii="Arial" w:cs="Arial" w:eastAsia="Arial" w:hAnsi="Arial"/>
                <w:b/>
                <w:bCs/>
                <w:sz w:val="20"/>
                <w:szCs w:val="20"/>
              </w:rPr>
              <w:t xml:space="preserve">Preparation time</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 minutes (in designated prep rooms)</w:t>
            </w:r>
          </w:p>
        </w:tc>
      </w:tr>
      <w:tr>
        <w:tc>
          <w:tcPr>
            <w:tcW w:type="dxa" w:w="4680"/>
            <w:tcBorders>
              <w:top w:val="single" w:color="CCCCCC" w:sz="1"/>
              <w:left w:val="single" w:color="CCCCCC" w:sz="1"/>
              <w:bottom w:val="single" w:color="CCCCCC" w:sz="1"/>
              <w:right w:val="single" w:color="CCCCCC" w:sz="1"/>
            </w:tcBorders>
            <w:shd w:fill="F0F4FA" w:val="clear"/>
            <w:tcMar>
              <w:top w:type="dxa" w:w="80"/>
              <w:left w:type="dxa" w:w="120"/>
              <w:bottom w:type="dxa" w:w="80"/>
              <w:right w:type="dxa" w:w="120"/>
            </w:tcMar>
          </w:tcPr>
          <w:p>
            <w:r>
              <w:rPr>
                <w:rFonts w:ascii="Arial" w:cs="Arial" w:eastAsia="Arial" w:hAnsi="Arial"/>
                <w:b/>
                <w:bCs/>
                <w:sz w:val="20"/>
                <w:szCs w:val="20"/>
              </w:rPr>
              <w:t xml:space="preserve">Presentation</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 minutes (hard stop at 20:00)</w:t>
            </w:r>
          </w:p>
        </w:tc>
      </w:tr>
      <w:tr>
        <w:tc>
          <w:tcPr>
            <w:tcW w:type="dxa" w:w="4680"/>
            <w:tcBorders>
              <w:top w:val="single" w:color="CCCCCC" w:sz="1"/>
              <w:left w:val="single" w:color="CCCCCC" w:sz="1"/>
              <w:bottom w:val="single" w:color="CCCCCC" w:sz="1"/>
              <w:right w:val="single" w:color="CCCCCC" w:sz="1"/>
            </w:tcBorders>
            <w:shd w:fill="F0F4FA" w:val="clear"/>
            <w:tcMar>
              <w:top w:type="dxa" w:w="80"/>
              <w:left w:type="dxa" w:w="120"/>
              <w:bottom w:type="dxa" w:w="80"/>
              <w:right w:type="dxa" w:w="120"/>
            </w:tcMar>
          </w:tcPr>
          <w:p>
            <w:r>
              <w:rPr>
                <w:rFonts w:ascii="Arial" w:cs="Arial" w:eastAsia="Arial" w:hAnsi="Arial"/>
                <w:b/>
                <w:bCs/>
                <w:sz w:val="20"/>
                <w:szCs w:val="20"/>
              </w:rPr>
              <w:t xml:space="preserve">Judge Q&amp;A</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10 minutes</w:t>
            </w:r>
          </w:p>
        </w:tc>
      </w:tr>
    </w:tbl>
    <w:p>
      <w:pPr>
        <w:spacing w:after="80"/>
      </w:pPr>
      <w:r>
        <w:t xml:space="preserve"/>
      </w:r>
    </w:p>
    <w:p>
      <w:pPr>
        <w:pBdr>
          <w:bottom w:val="single" w:color="E0E0E0" w:sz="4" w:space="4"/>
        </w:pBdr>
        <w:spacing w:after="60" w:before="240"/>
      </w:pPr>
      <w:r>
        <w:rPr>
          <w:rFonts w:ascii="Arial" w:cs="Arial" w:eastAsia="Arial" w:hAnsi="Arial"/>
          <w:b/>
          <w:bCs/>
          <w:color w:val="888888"/>
          <w:spacing w:val="40"/>
          <w:sz w:val="18"/>
          <w:szCs w:val="18"/>
        </w:rPr>
        <w:t xml:space="preserve">JUDGING PANEL</w:t>
      </w:r>
    </w:p>
    <w:p>
      <w:pPr>
        <w:spacing w:after="80"/>
      </w:pPr>
      <w:r>
        <w:t xml:space="preserve"/>
      </w:r>
    </w:p>
    <w:p>
      <w:pPr>
        <w:spacing w:after="120"/>
      </w:pPr>
      <w:r>
        <w:rPr>
          <w:rFonts w:ascii="Arial" w:cs="Arial" w:eastAsia="Arial" w:hAnsi="Arial"/>
          <w:sz w:val="22"/>
          <w:szCs w:val="22"/>
        </w:rPr>
        <w:t xml:space="preserve">Teams will be evaluated by a panel of three judges drawn from industry and academia. Scoring criteria are: strategic framework (30%), financial analysis (30%), presentation quality (25%), and Q&amp;A performance (15%).</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A3560" w:val="clear"/>
            <w:tcMar>
              <w:top w:type="dxa" w:w="80"/>
              <w:left w:type="dxa" w:w="120"/>
              <w:bottom w:type="dxa" w:w="80"/>
              <w:right w:type="dxa" w:w="120"/>
            </w:tcMar>
          </w:tcPr>
          <w:p>
            <w:r>
              <w:rPr>
                <w:rFonts w:ascii="Arial" w:cs="Arial" w:eastAsia="Arial" w:hAnsi="Arial"/>
                <w:b/>
                <w:bCs/>
                <w:color w:val="FFFFFF"/>
                <w:sz w:val="20"/>
                <w:szCs w:val="20"/>
              </w:rPr>
              <w:t xml:space="preserve">Judge</w:t>
            </w:r>
          </w:p>
        </w:tc>
        <w:tc>
          <w:tcPr>
            <w:tcW w:type="dxa" w:w="3120"/>
            <w:tcBorders>
              <w:top w:val="single" w:color="CCCCCC" w:sz="1"/>
              <w:left w:val="single" w:color="CCCCCC" w:sz="1"/>
              <w:bottom w:val="single" w:color="CCCCCC" w:sz="1"/>
              <w:right w:val="single" w:color="CCCCCC" w:sz="1"/>
            </w:tcBorders>
            <w:shd w:fill="1A3560" w:val="clear"/>
            <w:tcMar>
              <w:top w:type="dxa" w:w="80"/>
              <w:left w:type="dxa" w:w="120"/>
              <w:bottom w:type="dxa" w:w="80"/>
              <w:right w:type="dxa" w:w="120"/>
            </w:tcMar>
          </w:tcPr>
          <w:p>
            <w:r>
              <w:rPr>
                <w:rFonts w:ascii="Arial" w:cs="Arial" w:eastAsia="Arial" w:hAnsi="Arial"/>
                <w:b/>
                <w:bCs/>
                <w:color w:val="FFFFFF"/>
                <w:sz w:val="20"/>
                <w:szCs w:val="20"/>
              </w:rPr>
              <w:t xml:space="preserve">Title</w:t>
            </w:r>
          </w:p>
        </w:tc>
        <w:tc>
          <w:tcPr>
            <w:tcW w:type="dxa" w:w="3120"/>
            <w:tcBorders>
              <w:top w:val="single" w:color="CCCCCC" w:sz="1"/>
              <w:left w:val="single" w:color="CCCCCC" w:sz="1"/>
              <w:bottom w:val="single" w:color="CCCCCC" w:sz="1"/>
              <w:right w:val="single" w:color="CCCCCC" w:sz="1"/>
            </w:tcBorders>
            <w:shd w:fill="1A3560" w:val="clear"/>
            <w:tcMar>
              <w:top w:type="dxa" w:w="80"/>
              <w:left w:type="dxa" w:w="120"/>
              <w:bottom w:type="dxa" w:w="80"/>
              <w:right w:type="dxa" w:w="120"/>
            </w:tcMar>
          </w:tcPr>
          <w:p>
            <w:r>
              <w:rPr>
                <w:rFonts w:ascii="Arial" w:cs="Arial" w:eastAsia="Arial" w:hAnsi="Arial"/>
                <w:b/>
                <w:bCs/>
                <w:color w:val="FFFFFF"/>
                <w:sz w:val="20"/>
                <w:szCs w:val="20"/>
              </w:rPr>
              <w:t xml:space="preserve">Firm</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Rebecca Cho</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Engagement Manager</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McKinsey &amp; Company</w:t>
            </w:r>
          </w:p>
        </w:tc>
      </w:tr>
      <w:tr>
        <w:tc>
          <w:tcPr>
            <w:tcW w:type="dxa" w:w="3120"/>
            <w:tcBorders>
              <w:top w:val="single" w:color="CCCCCC" w:sz="1"/>
              <w:left w:val="single" w:color="CCCCCC" w:sz="1"/>
              <w:bottom w:val="single" w:color="CCCCCC" w:sz="1"/>
              <w:right w:val="single" w:color="CCCCCC" w:sz="1"/>
            </w:tcBorders>
            <w:shd w:fill="F5F7FB" w:val="clear"/>
            <w:tcMar>
              <w:top w:type="dxa" w:w="80"/>
              <w:left w:type="dxa" w:w="120"/>
              <w:bottom w:type="dxa" w:w="80"/>
              <w:right w:type="dxa" w:w="120"/>
            </w:tcMar>
          </w:tcPr>
          <w:p>
            <w:r>
              <w:rPr>
                <w:rFonts w:ascii="Arial" w:cs="Arial" w:eastAsia="Arial" w:hAnsi="Arial"/>
                <w:sz w:val="20"/>
                <w:szCs w:val="20"/>
              </w:rPr>
              <w:t xml:space="preserve">Daniel Osei</w:t>
            </w:r>
          </w:p>
        </w:tc>
        <w:tc>
          <w:tcPr>
            <w:tcW w:type="dxa" w:w="3120"/>
            <w:tcBorders>
              <w:top w:val="single" w:color="CCCCCC" w:sz="1"/>
              <w:left w:val="single" w:color="CCCCCC" w:sz="1"/>
              <w:bottom w:val="single" w:color="CCCCCC" w:sz="1"/>
              <w:right w:val="single" w:color="CCCCCC" w:sz="1"/>
            </w:tcBorders>
            <w:shd w:fill="F5F7FB" w:val="clear"/>
            <w:tcMar>
              <w:top w:type="dxa" w:w="80"/>
              <w:left w:type="dxa" w:w="120"/>
              <w:bottom w:type="dxa" w:w="80"/>
              <w:right w:type="dxa" w:w="120"/>
            </w:tcMar>
          </w:tcPr>
          <w:p>
            <w:r>
              <w:rPr>
                <w:rFonts w:ascii="Arial" w:cs="Arial" w:eastAsia="Arial" w:hAnsi="Arial"/>
                <w:sz w:val="20"/>
                <w:szCs w:val="20"/>
              </w:rPr>
              <w:t xml:space="preserve">VP Strategy</w:t>
            </w:r>
          </w:p>
        </w:tc>
        <w:tc>
          <w:tcPr>
            <w:tcW w:type="dxa" w:w="3120"/>
            <w:tcBorders>
              <w:top w:val="single" w:color="CCCCCC" w:sz="1"/>
              <w:left w:val="single" w:color="CCCCCC" w:sz="1"/>
              <w:bottom w:val="single" w:color="CCCCCC" w:sz="1"/>
              <w:right w:val="single" w:color="CCCCCC" w:sz="1"/>
            </w:tcBorders>
            <w:shd w:fill="F5F7FB" w:val="clear"/>
            <w:tcMar>
              <w:top w:type="dxa" w:w="80"/>
              <w:left w:type="dxa" w:w="120"/>
              <w:bottom w:type="dxa" w:w="80"/>
              <w:right w:type="dxa" w:w="120"/>
            </w:tcMar>
          </w:tcPr>
          <w:p>
            <w:r>
              <w:rPr>
                <w:rFonts w:ascii="Arial" w:cs="Arial" w:eastAsia="Arial" w:hAnsi="Arial"/>
                <w:sz w:val="20"/>
                <w:szCs w:val="20"/>
              </w:rPr>
              <w:t xml:space="preserve">Target Corporation</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Prof. Linda Ashworth</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Assoc. Professor, Strategy</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Ross School of Business</w:t>
            </w:r>
          </w:p>
        </w:tc>
      </w:tr>
    </w:tbl>
    <w:p>
      <w:pPr>
        <w:spacing w:after="80"/>
      </w:pPr>
      <w:r>
        <w:t xml:space="preserve"/>
      </w:r>
    </w:p>
    <w:p>
      <w:pPr>
        <w:pBdr>
          <w:bottom w:val="single" w:color="E0E0E0" w:sz="4" w:space="4"/>
        </w:pBdr>
        <w:spacing w:after="60" w:before="240"/>
      </w:pPr>
      <w:r>
        <w:rPr>
          <w:rFonts w:ascii="Arial" w:cs="Arial" w:eastAsia="Arial" w:hAnsi="Arial"/>
          <w:b/>
          <w:bCs/>
          <w:color w:val="888888"/>
          <w:spacing w:val="40"/>
          <w:sz w:val="18"/>
          <w:szCs w:val="18"/>
        </w:rPr>
        <w:t xml:space="preserve">PARTICIPATING TEAMS</w:t>
      </w:r>
    </w:p>
    <w:p>
      <w:pPr>
        <w:spacing w:after="80"/>
      </w:pPr>
      <w:r>
        <w:t xml:space="preserve"/>
      </w:r>
    </w:p>
    <w:p>
      <w:pPr>
        <w:spacing w:after="120"/>
      </w:pPr>
      <w:r>
        <w:rPr>
          <w:rFonts w:ascii="Arial" w:cs="Arial" w:eastAsia="Arial" w:hAnsi="Arial"/>
          <w:sz w:val="22"/>
          <w:szCs w:val="22"/>
        </w:rPr>
        <w:t xml:space="preserve">14 teams from 11 universities have confirmed registration. A full participant list will be distributed at check-in.</w:t>
      </w:r>
    </w:p>
    <w:p>
      <w:pPr>
        <w:spacing w:after="80"/>
      </w:pPr>
      <w:r>
        <w:t xml:space="preserve"/>
      </w:r>
    </w:p>
    <w:p>
      <w:pPr>
        <w:spacing w:after="120"/>
      </w:pPr>
      <w:r>
        <w:rPr>
          <w:rFonts w:ascii="Arial" w:cs="Arial" w:eastAsia="Arial" w:hAnsi="Arial"/>
          <w:sz w:val="22"/>
          <w:szCs w:val="22"/>
        </w:rPr>
        <w:t xml:space="preserve">Questions? Contact the organizing committee at nucc@rossadmin.edu. We look forward to welcoming your team.</w:t>
      </w:r>
    </w:p>
    <w:p>
      <w:pPr>
        <w:spacing w:after="80"/>
      </w:pPr>
      <w:r>
        <w:t xml:space="preserve"/>
      </w:r>
    </w:p>
    <w:p>
      <w:pPr>
        <w:spacing w:after="120"/>
      </w:pPr>
      <w:r>
        <w:rPr>
          <w:rFonts w:ascii="Arial" w:cs="Arial" w:eastAsia="Arial" w:hAnsi="Arial"/>
          <w:sz w:val="22"/>
          <w:szCs w:val="22"/>
        </w:rPr>
        <w:t xml:space="preserve">Warm regards,</w:t>
      </w:r>
    </w:p>
    <w:p>
      <w:pPr>
        <w:spacing w:after="80"/>
      </w:pPr>
      <w:r>
        <w:t xml:space="preserve"/>
      </w:r>
    </w:p>
    <w:p>
      <w:pPr>
        <w:spacing w:after="120"/>
      </w:pPr>
      <w:r>
        <w:rPr>
          <w:rFonts w:ascii="Arial" w:cs="Arial" w:eastAsia="Arial" w:hAnsi="Arial"/>
          <w:b/>
          <w:bCs/>
          <w:sz w:val="22"/>
          <w:szCs w:val="22"/>
        </w:rPr>
        <w:t xml:space="preserve">The NUCC Organizing Committee</w:t>
      </w:r>
    </w:p>
    <w:p>
      <w:pPr>
        <w:spacing w:after="120"/>
      </w:pPr>
      <w:r>
        <w:rPr>
          <w:rFonts w:ascii="Arial" w:cs="Arial" w:eastAsia="Arial" w:hAnsi="Arial"/>
          <w:sz w:val="22"/>
          <w:szCs w:val="22"/>
        </w:rPr>
        <w:t xml:space="preserve">Ross School of Business, University of Michigan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pPr>
    <w:r>
      <w:rPr>
        <w:rFonts w:ascii="Arial" w:cs="Arial" w:eastAsia="Arial" w:hAnsi="Arial"/>
        <w:color w:val="AAAAAA"/>
        <w:sz w:val="16"/>
        <w:szCs w:val="16"/>
      </w:rPr>
      <w:t xml:space="preserve">National Undergraduate Case Championship 2024  ·  nucc@rossadmin.edu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tabs>
        <w:tab w:val="right" w:pos="9360"/>
      </w:tabs>
    </w:pPr>
    <w:r>
      <w:rPr>
        <w:rFonts w:ascii="Arial" w:cs="Arial" w:eastAsia="Arial" w:hAnsi="Arial"/>
        <w:color w:val="888888"/>
        <w:sz w:val="18"/>
        <w:szCs w:val="18"/>
      </w:rPr>
      <w:t xml:space="preserve">NUCC · Official Participant Communication</w:t>
    </w:r>
    <w:r>
      <w:rPr>
        <w:rFonts w:ascii="Arial" w:cs="Arial" w:eastAsia="Arial" w:hAnsi="Arial"/>
        <w:i/>
        <w:iCs/>
        <w:color w:val="888888"/>
        <w:sz w:val="18"/>
        <w:szCs w:val="18"/>
      </w:rPr>
      <w:t xml:space="preserve">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2026-05-21T15:47:30.349Z</dcterms:created>
  <dcterms:modified xsi:type="dcterms:W3CDTF">2026-05-21T15:47:30.349Z</dcterms:modified>
</cp:coreProperties>
</file>

<file path=docProps/custom.xml><?xml version="1.0" encoding="utf-8"?>
<Properties xmlns="http://schemas.openxmlformats.org/officeDocument/2006/custom-properties" xmlns:vt="http://schemas.openxmlformats.org/officeDocument/2006/docPropsVTypes"/>
</file>